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B7" w:rsidRDefault="005145B7" w:rsidP="005145B7">
      <w:pPr>
        <w:ind w:firstLine="708"/>
        <w:jc w:val="both"/>
      </w:pPr>
      <w:r>
        <w:rPr>
          <w:sz w:val="28"/>
          <w:szCs w:val="28"/>
          <w:lang w:eastAsia="zh-CN"/>
        </w:rPr>
        <w:t>Понятие, сущность, роль и значение специальных знаний в уголовном судопроизводстве.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2.Правовая регламентация использования специальных знаний в уголовном судопроизводстве.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 xml:space="preserve">3.Теоретические и правовые основы использования правовых знаний в качестве специальных в уголовном судопроизводстве. 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 xml:space="preserve">4.Классификация форм использования специальных знаний в уголовном судопроизводстве. 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5.Доказательственное значение результатов, полученных в различных формах использования специальных знаний.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6.Непроцессуальные формы использования специальных знаний по уголовным делам и значение полученных результатов в процессе доказывания.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eastAsia="zh-CN"/>
        </w:rPr>
        <w:t>Понятие и классификация субъектов использования специальных знаний в уголовном судопроизводстве.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 xml:space="preserve">8.Государственные органы и должностные лица как субъекты использования специальных знаний. 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9. Процессуальное положение эксперта и специалиста в уголовном процессе. Их права, обязанности и ответственность.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10.Иные сведущие лица и их процессуальное положение в уголовном процессе.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12.</w:t>
      </w:r>
      <w:r>
        <w:rPr>
          <w:sz w:val="28"/>
          <w:szCs w:val="28"/>
          <w:lang w:eastAsia="zh-CN"/>
        </w:rPr>
        <w:t>Назначение и производство судебной экспертизы как следственное действие.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12.Процессуальный порядок допроса эксперта.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13.Заключение эксперта как источник доказательств, особенности его проверки и оценки.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14. Основания признания заключения эксперта недопустимым доказательством.</w:t>
      </w:r>
    </w:p>
    <w:p w:rsidR="005145B7" w:rsidRDefault="005145B7" w:rsidP="005145B7">
      <w:pPr>
        <w:ind w:left="708"/>
        <w:jc w:val="both"/>
      </w:pPr>
      <w:r>
        <w:rPr>
          <w:sz w:val="28"/>
          <w:szCs w:val="28"/>
        </w:rPr>
        <w:t>15.Участие специалиста в производстве отдельных следственных действий</w:t>
      </w:r>
      <w:r>
        <w:rPr>
          <w:sz w:val="28"/>
          <w:szCs w:val="28"/>
          <w:lang w:eastAsia="zh-CN"/>
        </w:rPr>
        <w:t>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  <w:lang w:eastAsia="zh-CN"/>
        </w:rPr>
        <w:t>16.Разъяснение специалистом вопросов, входящих в его профессиональную компетенцию и оказание специалистом помощи в подготовке вопросов эксперту.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15.Заключение и показания специалиста. Особенности проверки и оценки.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16.Проверка заявлений и сообщений о преступлении с использованием специальных знаний: способы, сроки, процессуальный порядок</w:t>
      </w:r>
      <w:r>
        <w:rPr>
          <w:sz w:val="28"/>
          <w:szCs w:val="28"/>
          <w:lang w:eastAsia="zh-CN"/>
        </w:rPr>
        <w:t>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17.Особенности использования специальных знаний в стадии возбуждения уголовного дела в сокращенном дознании.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18.Обеспечение прав участников проверочных действий с применением специальных знаний.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 xml:space="preserve">19.Общие правила использования специальных знаний и технических средств в стадии предварительного расследования. 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21.Легализация результатов ОРД, полученных с использованием специальных знаний.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lastRenderedPageBreak/>
        <w:t>22.Особенности участия специалиста в производстве отдельных следственных действий.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23.Проблемы соблюдения принципа равных средств при использовании специальных знаний в свете обеспечения права на справедливое судебное разбирательство.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24.Возможности стороны защиты по представлению собственных доказательств, отводу доказательств стороны обвинения для аргументации своей позиции по вопросам, требующим применения специальных знаний и проблемы их реализации на практике.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 xml:space="preserve">25.Правовые средства обеспечения равных возможностей потерпевшего по использованию специальных знаний и проблемы их законодательного закрепления. </w:t>
      </w:r>
    </w:p>
    <w:p w:rsidR="005145B7" w:rsidRDefault="005145B7" w:rsidP="005145B7">
      <w:pPr>
        <w:ind w:firstLine="708"/>
        <w:jc w:val="both"/>
      </w:pPr>
      <w:r>
        <w:rPr>
          <w:sz w:val="28"/>
          <w:szCs w:val="28"/>
        </w:rPr>
        <w:t>26. Нарушения принципа равенства в использовании специальных знаний и способы их устранения.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145B7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145B7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3586A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>SGAP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2020-09-09T06:51:00Z</dcterms:created>
  <dcterms:modified xsi:type="dcterms:W3CDTF">2020-09-09T06:51:00Z</dcterms:modified>
</cp:coreProperties>
</file>